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AB" w:rsidRDefault="007C31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>
            <wp:extent cx="5753100" cy="1543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4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1AB" w:rsidRDefault="003711AB">
      <w:pPr>
        <w:rPr>
          <w:rFonts w:ascii="Arial" w:hAnsi="Arial" w:cs="Arial"/>
          <w:sz w:val="22"/>
          <w:szCs w:val="22"/>
        </w:rPr>
      </w:pPr>
    </w:p>
    <w:p w:rsidR="003711AB" w:rsidRDefault="003711AB" w:rsidP="00CF62A6">
      <w:pPr>
        <w:tabs>
          <w:tab w:val="left" w:pos="4536"/>
          <w:tab w:val="left" w:pos="495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22"/>
          <w:szCs w:val="22"/>
        </w:rPr>
        <w:t>Saint-Rémy,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5700F">
        <w:rPr>
          <w:rFonts w:ascii="Arial" w:eastAsia="Arial" w:hAnsi="Arial" w:cs="Arial"/>
          <w:color w:val="000000"/>
          <w:sz w:val="22"/>
          <w:szCs w:val="22"/>
        </w:rPr>
        <w:t>02 mars 2019</w:t>
      </w:r>
    </w:p>
    <w:p w:rsidR="003711AB" w:rsidRDefault="003711AB" w:rsidP="00CF62A6">
      <w:pPr>
        <w:tabs>
          <w:tab w:val="left" w:pos="4536"/>
          <w:tab w:val="left" w:pos="4680"/>
        </w:tabs>
        <w:rPr>
          <w:rFonts w:ascii="Arial" w:hAnsi="Arial" w:cs="Arial"/>
          <w:color w:val="000000"/>
          <w:sz w:val="22"/>
          <w:szCs w:val="22"/>
        </w:rPr>
      </w:pPr>
    </w:p>
    <w:p w:rsidR="003A3FDF" w:rsidRDefault="003A3FDF" w:rsidP="00CF62A6">
      <w:pPr>
        <w:tabs>
          <w:tab w:val="left" w:pos="4536"/>
          <w:tab w:val="left" w:pos="4680"/>
        </w:tabs>
        <w:rPr>
          <w:rFonts w:ascii="Arial" w:hAnsi="Arial" w:cs="Arial"/>
          <w:color w:val="000000"/>
          <w:sz w:val="22"/>
          <w:szCs w:val="22"/>
        </w:rPr>
      </w:pPr>
    </w:p>
    <w:p w:rsidR="003711AB" w:rsidRPr="003A3FDF" w:rsidRDefault="00CF62A6" w:rsidP="00CF62A6">
      <w:pPr>
        <w:tabs>
          <w:tab w:val="left" w:pos="4536"/>
          <w:tab w:val="left" w:pos="4962"/>
          <w:tab w:val="left" w:pos="558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3711AB">
        <w:rPr>
          <w:rFonts w:ascii="Arial" w:hAnsi="Arial" w:cs="Arial"/>
          <w:b/>
          <w:bCs/>
          <w:color w:val="000000"/>
          <w:sz w:val="22"/>
          <w:szCs w:val="22"/>
        </w:rPr>
        <w:t>M</w:t>
      </w:r>
      <w:r w:rsidR="00E5700F">
        <w:rPr>
          <w:rFonts w:ascii="Arial" w:hAnsi="Arial" w:cs="Arial"/>
          <w:b/>
          <w:bCs/>
          <w:color w:val="000000"/>
          <w:sz w:val="22"/>
          <w:szCs w:val="22"/>
        </w:rPr>
        <w:t>adame</w:t>
      </w:r>
      <w:r w:rsidR="003711A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E5700F">
        <w:rPr>
          <w:rFonts w:ascii="Arial" w:eastAsia="Arial" w:hAnsi="Arial" w:cs="Arial"/>
          <w:b/>
          <w:bCs/>
          <w:color w:val="000000"/>
          <w:sz w:val="22"/>
          <w:szCs w:val="22"/>
        </w:rPr>
        <w:t>Sophie BROCARD</w:t>
      </w:r>
    </w:p>
    <w:p w:rsidR="003711AB" w:rsidRDefault="003711AB" w:rsidP="00CF62A6">
      <w:pPr>
        <w:tabs>
          <w:tab w:val="left" w:pos="4536"/>
          <w:tab w:val="left" w:pos="4965"/>
        </w:tabs>
        <w:autoSpaceDE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852E4">
        <w:rPr>
          <w:rFonts w:ascii="Arial" w:hAnsi="Arial" w:cs="Arial"/>
        </w:rPr>
        <w:t>Préf</w:t>
      </w:r>
      <w:r w:rsidR="00E5700F">
        <w:rPr>
          <w:rFonts w:ascii="Arial" w:hAnsi="Arial" w:cs="Arial"/>
        </w:rPr>
        <w:t>è</w:t>
      </w:r>
      <w:r w:rsidR="00C852E4">
        <w:rPr>
          <w:rFonts w:ascii="Arial" w:hAnsi="Arial" w:cs="Arial"/>
        </w:rPr>
        <w:t>t</w:t>
      </w:r>
      <w:r w:rsidR="00E5700F">
        <w:rPr>
          <w:rFonts w:ascii="Arial" w:hAnsi="Arial" w:cs="Arial"/>
        </w:rPr>
        <w:t>e</w:t>
      </w:r>
      <w:r w:rsidR="00C852E4">
        <w:rPr>
          <w:rFonts w:ascii="Arial" w:hAnsi="Arial" w:cs="Arial"/>
        </w:rPr>
        <w:t xml:space="preserve"> d</w:t>
      </w:r>
      <w:r w:rsidR="00E5700F">
        <w:rPr>
          <w:rFonts w:ascii="Arial" w:hAnsi="Arial" w:cs="Arial"/>
        </w:rPr>
        <w:t>’Eure et Loir</w:t>
      </w:r>
    </w:p>
    <w:p w:rsidR="003711AB" w:rsidRDefault="003711AB" w:rsidP="00CF62A6">
      <w:pPr>
        <w:tabs>
          <w:tab w:val="left" w:pos="4536"/>
          <w:tab w:val="left" w:pos="4950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3FDF" w:rsidRDefault="003A3FDF" w:rsidP="00CF62A6">
      <w:pPr>
        <w:tabs>
          <w:tab w:val="left" w:pos="4536"/>
          <w:tab w:val="left" w:pos="4950"/>
        </w:tabs>
        <w:autoSpaceDE w:val="0"/>
        <w:rPr>
          <w:rFonts w:ascii="Arial" w:hAnsi="Arial" w:cs="Arial"/>
        </w:rPr>
      </w:pPr>
    </w:p>
    <w:p w:rsidR="003A3FDF" w:rsidRDefault="003A3FDF" w:rsidP="00CF62A6">
      <w:pPr>
        <w:tabs>
          <w:tab w:val="left" w:pos="750"/>
          <w:tab w:val="left" w:pos="4536"/>
        </w:tabs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Objet : Devenir de la RN154/RN12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E5700F">
        <w:rPr>
          <w:rFonts w:ascii="Arial" w:hAnsi="Arial" w:cs="Arial"/>
          <w:color w:val="000000"/>
          <w:sz w:val="22"/>
          <w:szCs w:val="22"/>
        </w:rPr>
        <w:t>28000 CHARTRES</w:t>
      </w:r>
    </w:p>
    <w:p w:rsidR="003A3FDF" w:rsidRDefault="003A3FDF" w:rsidP="003A3FDF">
      <w:pPr>
        <w:tabs>
          <w:tab w:val="left" w:pos="720"/>
          <w:tab w:val="left" w:pos="492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3711AB" w:rsidRDefault="003711AB">
      <w:pPr>
        <w:tabs>
          <w:tab w:val="left" w:pos="750"/>
          <w:tab w:val="left" w:pos="4935"/>
        </w:tabs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p w:rsidR="003711AB" w:rsidRDefault="003711AB">
      <w:pPr>
        <w:tabs>
          <w:tab w:val="left" w:pos="558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3711AB" w:rsidRPr="00CF62A6" w:rsidRDefault="00E5700F" w:rsidP="00CF62A6">
      <w:pPr>
        <w:tabs>
          <w:tab w:val="left" w:pos="558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Madame</w:t>
      </w:r>
      <w:r w:rsidR="003711AB">
        <w:rPr>
          <w:rFonts w:ascii="Arial" w:eastAsia="Arial" w:hAnsi="Arial" w:cs="Arial"/>
          <w:sz w:val="22"/>
          <w:szCs w:val="22"/>
        </w:rPr>
        <w:t xml:space="preserve"> </w:t>
      </w:r>
      <w:r w:rsidR="003711AB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 w:rsidR="003711A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Préfè</w:t>
      </w:r>
      <w:r w:rsidR="003A3FD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 w:rsidR="003711AB">
        <w:rPr>
          <w:rFonts w:ascii="Arial" w:hAnsi="Arial" w:cs="Arial"/>
          <w:sz w:val="22"/>
          <w:szCs w:val="22"/>
        </w:rPr>
        <w:t>,</w:t>
      </w:r>
    </w:p>
    <w:p w:rsidR="003711AB" w:rsidRDefault="003711AB">
      <w:pPr>
        <w:rPr>
          <w:rFonts w:ascii="Arial" w:hAnsi="Arial" w:cs="Arial"/>
          <w:sz w:val="22"/>
          <w:szCs w:val="22"/>
        </w:rPr>
      </w:pPr>
    </w:p>
    <w:p w:rsidR="003711AB" w:rsidRDefault="00E5700F" w:rsidP="00E5700F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collectif DEVIER SAINT RÉMY a toujours soutenu le projet d’aménagement de la RN154, même quand cet aménagement, dans un contexte financier difficile, a été réorienté vers une mise en concession.</w:t>
      </w:r>
    </w:p>
    <w:p w:rsidR="00E5700F" w:rsidRDefault="00E5700F" w:rsidP="00E5700F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E5700F" w:rsidRDefault="00E5700F" w:rsidP="00E5700F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Depuis 2009, nous avons activement participé à toutes les phases du débat public, en apportant toute notre connaissance des particularités de notre secteur. </w:t>
      </w:r>
    </w:p>
    <w:p w:rsidR="00E5700F" w:rsidRDefault="00E5700F" w:rsidP="00E5700F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E5700F" w:rsidRDefault="00E5700F" w:rsidP="00E5700F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Nous avons participé au comité de suivi jusqu’à la fin de sa mission. Ce comité était pour nous le seul moyen d’accéder aux informations officielles.</w:t>
      </w:r>
    </w:p>
    <w:p w:rsidR="00E5700F" w:rsidRDefault="00E5700F" w:rsidP="00E5700F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E5700F" w:rsidRDefault="00E5700F" w:rsidP="00E5700F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Depuis la déclaration d’utilité publique de juillet 2018, dont nous nous sommes </w:t>
      </w:r>
      <w:r w:rsidR="00AB369B">
        <w:rPr>
          <w:rFonts w:ascii="Arial" w:hAnsi="Arial" w:cs="Arial"/>
          <w:sz w:val="22"/>
          <w:szCs w:val="22"/>
        </w:rPr>
        <w:t>félicités  car elle représentait la solution à nos souffrances, nous ne disposons plus de cette information autrement que par le prisme des médias, ce qui ne nous satisfait pas.</w:t>
      </w:r>
    </w:p>
    <w:p w:rsidR="00AB369B" w:rsidRDefault="00AB369B" w:rsidP="00E5700F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AB369B" w:rsidRDefault="00AB369B" w:rsidP="00E5700F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Après l’abandon du site dédié par la DREAL au projet, nous sommes dans l’ignorance totale quant à l’avancement de « l’après DUP ».</w:t>
      </w:r>
    </w:p>
    <w:p w:rsidR="00AB369B" w:rsidRDefault="00AB369B" w:rsidP="00E5700F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AB369B" w:rsidRDefault="00AB369B" w:rsidP="00E5700F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calendrier prévisionnel prévoyait la constitution d’un cahier des charges de concession, puis le lancement d’un appel d’offres.</w:t>
      </w:r>
    </w:p>
    <w:p w:rsidR="00AB369B" w:rsidRDefault="00AB369B" w:rsidP="00E5700F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3F29D1" w:rsidRDefault="00AB23FF" w:rsidP="00E5700F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habitants de la vallée, et plus particulièrement ceux de Saint Rémy sur Avre, nous interrogent régulièrement sur l’avancement du dossier, sans que nous puissions relayer une information officielle.</w:t>
      </w:r>
    </w:p>
    <w:p w:rsidR="00AB23FF" w:rsidRDefault="00AB23FF" w:rsidP="00E5700F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AB23FF" w:rsidRDefault="00AB23FF" w:rsidP="00E5700F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C’est pourquoi nous vous sollicitons afin de faire le point</w:t>
      </w:r>
      <w:r w:rsidR="00DE0BC6">
        <w:rPr>
          <w:rFonts w:ascii="Arial" w:hAnsi="Arial" w:cs="Arial"/>
          <w:sz w:val="22"/>
          <w:szCs w:val="22"/>
        </w:rPr>
        <w:t xml:space="preserve"> sur la phase en cours, selon vos possibilités par une entrevue ou un courrier qui nous </w:t>
      </w:r>
      <w:proofErr w:type="gramStart"/>
      <w:r w:rsidR="00DE0BC6">
        <w:rPr>
          <w:rFonts w:ascii="Arial" w:hAnsi="Arial" w:cs="Arial"/>
          <w:sz w:val="22"/>
          <w:szCs w:val="22"/>
        </w:rPr>
        <w:t>permettraient</w:t>
      </w:r>
      <w:proofErr w:type="gramEnd"/>
      <w:r w:rsidR="00DE0BC6">
        <w:rPr>
          <w:rFonts w:ascii="Arial" w:hAnsi="Arial" w:cs="Arial"/>
          <w:sz w:val="22"/>
          <w:szCs w:val="22"/>
        </w:rPr>
        <w:t xml:space="preserve"> de faire patienter les riverains de cette double nationale dont les nuisances quotidiennes n’ont pas diminué. </w:t>
      </w:r>
    </w:p>
    <w:p w:rsidR="00C8323F" w:rsidRDefault="00C8323F" w:rsidP="00E5700F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2D72FD" w:rsidRPr="003F29D1" w:rsidRDefault="006E0CF3" w:rsidP="00E5700F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2017</w:t>
      </w:r>
      <w:r w:rsidR="002D72FD">
        <w:rPr>
          <w:rFonts w:ascii="Arial" w:hAnsi="Arial" w:cs="Arial"/>
          <w:sz w:val="22"/>
          <w:szCs w:val="22"/>
        </w:rPr>
        <w:t xml:space="preserve">, la pollution </w:t>
      </w:r>
      <w:r w:rsidR="00295A82">
        <w:rPr>
          <w:rFonts w:ascii="Arial" w:hAnsi="Arial" w:cs="Arial"/>
          <w:sz w:val="22"/>
          <w:szCs w:val="22"/>
        </w:rPr>
        <w:t xml:space="preserve">mesurée par la station LIG AIR installée à St Rémy </w:t>
      </w:r>
      <w:r w:rsidR="002D72FD">
        <w:rPr>
          <w:rFonts w:ascii="Arial" w:hAnsi="Arial" w:cs="Arial"/>
          <w:sz w:val="22"/>
          <w:szCs w:val="22"/>
        </w:rPr>
        <w:t xml:space="preserve">a dépassé, durant </w:t>
      </w:r>
      <w:r w:rsidR="00295A82">
        <w:rPr>
          <w:rFonts w:ascii="Arial" w:hAnsi="Arial" w:cs="Arial"/>
          <w:sz w:val="22"/>
          <w:szCs w:val="22"/>
        </w:rPr>
        <w:t>7</w:t>
      </w:r>
      <w:r w:rsidR="002D72FD">
        <w:rPr>
          <w:rFonts w:ascii="Arial" w:hAnsi="Arial" w:cs="Arial"/>
          <w:sz w:val="22"/>
          <w:szCs w:val="22"/>
        </w:rPr>
        <w:t xml:space="preserve"> jours, </w:t>
      </w:r>
      <w:r w:rsidR="00295A82">
        <w:rPr>
          <w:rFonts w:ascii="Arial" w:hAnsi="Arial" w:cs="Arial"/>
          <w:sz w:val="22"/>
          <w:szCs w:val="22"/>
        </w:rPr>
        <w:t xml:space="preserve">le seuil d’information </w:t>
      </w:r>
      <w:r w:rsidR="002D72FD">
        <w:rPr>
          <w:rFonts w:ascii="Arial" w:hAnsi="Arial" w:cs="Arial"/>
          <w:sz w:val="22"/>
          <w:szCs w:val="22"/>
        </w:rPr>
        <w:t>des microparticules en moyenne sur 24 heures </w:t>
      </w:r>
      <w:r w:rsidR="00295A82">
        <w:rPr>
          <w:rFonts w:ascii="Arial" w:hAnsi="Arial" w:cs="Arial"/>
          <w:sz w:val="22"/>
          <w:szCs w:val="22"/>
        </w:rPr>
        <w:t>dont 4 fois le seuil d’alerte</w:t>
      </w:r>
      <w:r w:rsidR="002D72FD" w:rsidRPr="003F29D1">
        <w:rPr>
          <w:rFonts w:ascii="Arial" w:hAnsi="Arial" w:cs="Arial"/>
          <w:sz w:val="22"/>
          <w:szCs w:val="22"/>
        </w:rPr>
        <w:t xml:space="preserve"> !</w:t>
      </w:r>
    </w:p>
    <w:p w:rsidR="002D72FD" w:rsidRDefault="002D72FD" w:rsidP="00E5700F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CF62A6" w:rsidRDefault="00CF62A6" w:rsidP="00E5700F">
      <w:pPr>
        <w:ind w:firstLine="709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Nous restons à votre disposition et vous prions</w:t>
      </w:r>
      <w:r w:rsidR="006F5F0F">
        <w:rPr>
          <w:rFonts w:ascii="Arial" w:hAnsi="Arial" w:cs="Arial"/>
          <w:sz w:val="22"/>
          <w:szCs w:val="22"/>
        </w:rPr>
        <w:t xml:space="preserve"> d’agréer, </w:t>
      </w:r>
      <w:r w:rsidR="00EE37E0">
        <w:rPr>
          <w:rFonts w:ascii="Arial" w:hAnsi="Arial" w:cs="Arial"/>
          <w:sz w:val="22"/>
          <w:szCs w:val="22"/>
        </w:rPr>
        <w:t>Madame</w:t>
      </w:r>
      <w:r w:rsidR="00EE37E0">
        <w:rPr>
          <w:rFonts w:ascii="Arial" w:eastAsia="Arial" w:hAnsi="Arial" w:cs="Arial"/>
          <w:sz w:val="22"/>
          <w:szCs w:val="22"/>
        </w:rPr>
        <w:t xml:space="preserve"> </w:t>
      </w:r>
      <w:r w:rsidR="00EE37E0">
        <w:rPr>
          <w:rFonts w:ascii="Arial" w:hAnsi="Arial" w:cs="Arial"/>
          <w:sz w:val="22"/>
          <w:szCs w:val="22"/>
        </w:rPr>
        <w:t>la</w:t>
      </w:r>
      <w:r w:rsidR="00EE37E0">
        <w:rPr>
          <w:rFonts w:ascii="Arial" w:eastAsia="Arial" w:hAnsi="Arial" w:cs="Arial"/>
          <w:sz w:val="22"/>
          <w:szCs w:val="22"/>
        </w:rPr>
        <w:t xml:space="preserve"> </w:t>
      </w:r>
      <w:r w:rsidR="00EE37E0">
        <w:rPr>
          <w:rFonts w:ascii="Arial" w:hAnsi="Arial" w:cs="Arial"/>
          <w:sz w:val="22"/>
          <w:szCs w:val="22"/>
        </w:rPr>
        <w:t>Préfète</w:t>
      </w:r>
      <w:r w:rsidR="006F5F0F">
        <w:rPr>
          <w:rFonts w:ascii="Arial" w:hAnsi="Arial" w:cs="Arial"/>
          <w:sz w:val="22"/>
          <w:szCs w:val="22"/>
        </w:rPr>
        <w:t>, l</w:t>
      </w:r>
      <w:r>
        <w:rPr>
          <w:rFonts w:ascii="Arial" w:hAnsi="Arial" w:cs="Arial"/>
          <w:sz w:val="22"/>
          <w:szCs w:val="22"/>
        </w:rPr>
        <w:t>’expression de notre très haute considération.</w:t>
      </w:r>
    </w:p>
    <w:p w:rsidR="003A3FDF" w:rsidRDefault="003A3FDF">
      <w:pPr>
        <w:jc w:val="both"/>
        <w:rPr>
          <w:rFonts w:ascii="Arial" w:hAnsi="Arial" w:cs="Arial"/>
          <w:sz w:val="22"/>
          <w:szCs w:val="22"/>
        </w:rPr>
      </w:pPr>
    </w:p>
    <w:p w:rsidR="003A3FDF" w:rsidRDefault="003A3FDF">
      <w:pPr>
        <w:jc w:val="both"/>
        <w:rPr>
          <w:rFonts w:ascii="Arial" w:hAnsi="Arial" w:cs="Arial"/>
          <w:sz w:val="22"/>
          <w:szCs w:val="22"/>
        </w:rPr>
      </w:pPr>
    </w:p>
    <w:p w:rsidR="00CF62A6" w:rsidRDefault="00CF62A6" w:rsidP="00CF62A6">
      <w:pPr>
        <w:tabs>
          <w:tab w:val="left" w:pos="41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Gérard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DANIEL</w:t>
      </w:r>
    </w:p>
    <w:p w:rsidR="003711AB" w:rsidRDefault="00CF62A6">
      <w:pPr>
        <w:tabs>
          <w:tab w:val="left" w:pos="416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Représentant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Collectif</w:t>
      </w:r>
    </w:p>
    <w:sectPr w:rsidR="003711AB" w:rsidSect="00EE37E0">
      <w:footerReference w:type="default" r:id="rId7"/>
      <w:pgSz w:w="11906" w:h="16838"/>
      <w:pgMar w:top="567" w:right="707" w:bottom="567" w:left="993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7FE" w:rsidRDefault="009A67FE">
      <w:r>
        <w:separator/>
      </w:r>
    </w:p>
  </w:endnote>
  <w:endnote w:type="continuationSeparator" w:id="0">
    <w:p w:rsidR="009A67FE" w:rsidRDefault="009A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EC5" w:rsidRDefault="003C2EC5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Collectif</w:t>
    </w:r>
    <w:r>
      <w:rPr>
        <w:rFonts w:ascii="Arial" w:eastAsia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DEVIER</w:t>
    </w:r>
    <w:r>
      <w:rPr>
        <w:rFonts w:ascii="Arial" w:eastAsia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SAINT-REMY</w:t>
    </w:r>
    <w:r>
      <w:rPr>
        <w:rFonts w:ascii="Arial" w:eastAsia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Association</w:t>
    </w:r>
    <w:r>
      <w:rPr>
        <w:rFonts w:ascii="Arial" w:eastAsia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loi</w:t>
    </w:r>
    <w:r>
      <w:rPr>
        <w:rFonts w:ascii="Arial" w:eastAsia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de</w:t>
    </w:r>
    <w:r>
      <w:rPr>
        <w:rFonts w:ascii="Arial" w:eastAsia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1901</w:t>
    </w:r>
  </w:p>
  <w:p w:rsidR="003C2EC5" w:rsidRDefault="003C2EC5">
    <w:pPr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OSCAR</w:t>
    </w:r>
    <w:r>
      <w:rPr>
        <w:rFonts w:ascii="Arial" w:eastAsia="Arial" w:hAnsi="Arial" w:cs="Arial"/>
        <w:b/>
        <w:bCs/>
        <w:sz w:val="20"/>
        <w:szCs w:val="20"/>
      </w:rPr>
      <w:t xml:space="preserve"> – </w:t>
    </w:r>
    <w:r>
      <w:rPr>
        <w:rFonts w:ascii="Arial" w:hAnsi="Arial" w:cs="Arial"/>
        <w:b/>
        <w:bCs/>
        <w:sz w:val="20"/>
        <w:szCs w:val="20"/>
      </w:rPr>
      <w:t>Avenue</w:t>
    </w:r>
    <w:r>
      <w:rPr>
        <w:rFonts w:ascii="Arial" w:eastAsia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du</w:t>
    </w:r>
    <w:r>
      <w:rPr>
        <w:rFonts w:ascii="Arial" w:eastAsia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Pré</w:t>
    </w:r>
    <w:r>
      <w:rPr>
        <w:rFonts w:ascii="Arial" w:eastAsia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de</w:t>
    </w:r>
    <w:r>
      <w:rPr>
        <w:rFonts w:ascii="Arial" w:eastAsia="Arial" w:hAnsi="Arial" w:cs="Arial"/>
        <w:b/>
        <w:bCs/>
        <w:sz w:val="20"/>
        <w:szCs w:val="20"/>
      </w:rPr>
      <w:t xml:space="preserve"> l’Église </w:t>
    </w:r>
    <w:r>
      <w:rPr>
        <w:rFonts w:ascii="Arial" w:hAnsi="Arial" w:cs="Arial"/>
        <w:b/>
        <w:bCs/>
        <w:sz w:val="20"/>
        <w:szCs w:val="20"/>
      </w:rPr>
      <w:t>-</w:t>
    </w:r>
    <w:r>
      <w:rPr>
        <w:rFonts w:ascii="Arial" w:eastAsia="Arial" w:hAnsi="Arial" w:cs="Arial"/>
        <w:b/>
        <w:bCs/>
        <w:sz w:val="20"/>
        <w:szCs w:val="20"/>
      </w:rPr>
      <w:t xml:space="preserve">  </w:t>
    </w:r>
    <w:r>
      <w:rPr>
        <w:rFonts w:ascii="Arial" w:hAnsi="Arial" w:cs="Arial"/>
        <w:b/>
        <w:bCs/>
        <w:sz w:val="20"/>
        <w:szCs w:val="20"/>
      </w:rPr>
      <w:t>28380</w:t>
    </w:r>
    <w:r>
      <w:rPr>
        <w:rFonts w:ascii="Arial" w:eastAsia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SAINT-REMY-SUR-AVRE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7FE" w:rsidRDefault="009A67FE">
      <w:r>
        <w:separator/>
      </w:r>
    </w:p>
  </w:footnote>
  <w:footnote w:type="continuationSeparator" w:id="0">
    <w:p w:rsidR="009A67FE" w:rsidRDefault="009A6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DB"/>
    <w:rsid w:val="00007891"/>
    <w:rsid w:val="00096836"/>
    <w:rsid w:val="002002DC"/>
    <w:rsid w:val="00295A82"/>
    <w:rsid w:val="002D72FD"/>
    <w:rsid w:val="003711AB"/>
    <w:rsid w:val="00380D22"/>
    <w:rsid w:val="00393B0F"/>
    <w:rsid w:val="003A3FDF"/>
    <w:rsid w:val="003C2EC5"/>
    <w:rsid w:val="003F0D5F"/>
    <w:rsid w:val="003F29D1"/>
    <w:rsid w:val="0042308B"/>
    <w:rsid w:val="00497E3E"/>
    <w:rsid w:val="004E1C15"/>
    <w:rsid w:val="005768D5"/>
    <w:rsid w:val="005E2072"/>
    <w:rsid w:val="0061556A"/>
    <w:rsid w:val="00620AC7"/>
    <w:rsid w:val="006E0CF3"/>
    <w:rsid w:val="006F5F0F"/>
    <w:rsid w:val="007C319D"/>
    <w:rsid w:val="008E15EE"/>
    <w:rsid w:val="009A67FE"/>
    <w:rsid w:val="009E6BDB"/>
    <w:rsid w:val="00AB23FF"/>
    <w:rsid w:val="00AB369B"/>
    <w:rsid w:val="00AF67F4"/>
    <w:rsid w:val="00C8323F"/>
    <w:rsid w:val="00C852E4"/>
    <w:rsid w:val="00CF62A6"/>
    <w:rsid w:val="00D55D60"/>
    <w:rsid w:val="00DA1761"/>
    <w:rsid w:val="00DE0BC6"/>
    <w:rsid w:val="00E5700F"/>
    <w:rsid w:val="00EE37E0"/>
    <w:rsid w:val="00F14819"/>
    <w:rsid w:val="00F2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731CD8D-1949-4DCC-992B-98A86100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pPr>
      <w:spacing w:before="280" w:after="119"/>
    </w:pPr>
  </w:style>
  <w:style w:type="paragraph" w:styleId="Pieddepage">
    <w:name w:val="footer"/>
    <w:basedOn w:val="Normal"/>
    <w:pPr>
      <w:suppressLineNumbers/>
      <w:tabs>
        <w:tab w:val="center" w:pos="4535"/>
        <w:tab w:val="right" w:pos="9070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3F29D1"/>
  </w:style>
  <w:style w:type="character" w:styleId="lev">
    <w:name w:val="Strong"/>
    <w:uiPriority w:val="22"/>
    <w:qFormat/>
    <w:rsid w:val="003F2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9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2289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rapport de la Commission Mobilité 21 est attendu mi-juin</vt:lpstr>
    </vt:vector>
  </TitlesOfParts>
  <Company>JACQUET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rapport de la Commission Mobilité 21 est attendu mi-juin</dc:title>
  <dc:subject/>
  <dc:creator>Cadic</dc:creator>
  <cp:keywords/>
  <cp:lastModifiedBy>gg</cp:lastModifiedBy>
  <cp:revision>7</cp:revision>
  <cp:lastPrinted>1900-12-31T23:00:00Z</cp:lastPrinted>
  <dcterms:created xsi:type="dcterms:W3CDTF">2019-03-01T06:22:00Z</dcterms:created>
  <dcterms:modified xsi:type="dcterms:W3CDTF">2019-03-02T20:51:00Z</dcterms:modified>
</cp:coreProperties>
</file>